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Built for recurring visits, with the service period stated on the invoice.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Property address: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Service period: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Number of visits: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Visits / hours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Regular clean (visits this period)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Deep clean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Carpet or upholstery clean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Windows, interior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Windows, exterior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Oven or appliance clean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Cleaning products and consumables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Extra hours requested on the day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This invoice covers the service period shown above.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by the due date shown above. Recurring cleans are invoiced at the end of each period.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invoice template</dc:title>
  <dc:subject/>
  <dc:creator>UENI</dc:creator>
  <cp:keywords/>
  <dc:description>Built for recurring visits, with the service period stated on the invoice.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